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DC" w:rsidRPr="00C92ADC" w:rsidRDefault="00C92ADC" w:rsidP="00C92ADC">
      <w:pPr>
        <w:spacing w:after="0" w:line="240" w:lineRule="auto"/>
        <w:jc w:val="center"/>
        <w:outlineLvl w:val="1"/>
        <w:rPr>
          <w:rFonts w:ascii="Noto Serif" w:eastAsia="Times New Roman" w:hAnsi="Noto Serif" w:cs="Nachlieli CLM"/>
          <w:color w:val="000000" w:themeColor="text1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000000" w:themeColor="text1"/>
          <w:kern w:val="0"/>
          <w:sz w:val="57"/>
          <w:szCs w:val="57"/>
          <w:bdr w:val="none" w:sz="0" w:space="0" w:color="auto" w:frame="1"/>
          <w:lang w:eastAsia="ru-RU"/>
          <w14:ligatures w14:val="none"/>
        </w:rPr>
        <w:t>Стоимость ведения кадрового учета</w:t>
      </w:r>
    </w:p>
    <w:p w:rsidR="00C92ADC" w:rsidRPr="00C92ADC" w:rsidRDefault="00C92ADC" w:rsidP="00C92ADC">
      <w:pPr>
        <w:spacing w:after="0" w:line="240" w:lineRule="auto"/>
        <w:jc w:val="center"/>
        <w:rPr>
          <w:rFonts w:ascii="Roboto" w:eastAsia="Times New Roman" w:hAnsi="Roboto" w:cs="Nachlieli CLM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1903"/>
        <w:gridCol w:w="1325"/>
        <w:gridCol w:w="661"/>
      </w:tblGrid>
      <w:tr w:rsidR="00A17B22" w:rsidRPr="00E32820" w:rsidTr="00995E2C">
        <w:trPr>
          <w:tblHeader/>
          <w:tblCellSpacing w:w="15" w:type="dxa"/>
        </w:trPr>
        <w:tc>
          <w:tcPr>
            <w:tcW w:w="2896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1002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693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  <w:tc>
          <w:tcPr>
            <w:tcW w:w="32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rHeight w:val="987"/>
          <w:tblCellSpacing w:w="15" w:type="dxa"/>
        </w:trPr>
        <w:tc>
          <w:tcPr>
            <w:tcW w:w="2896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Ведение кадрового учета работников Заказчика</w:t>
            </w:r>
          </w:p>
        </w:tc>
        <w:tc>
          <w:tcPr>
            <w:tcW w:w="1002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Оформление изменения штатного расписания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комплект документов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Изменение графика отпусков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32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Разработка/изменение шаблона трудового договора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Разработка/изменение должностной инструкции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Изменение стандартных шаблонов кадровых документов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Оформление изменения размера заработной платы (приказ + доп. соглашение к трудовому договору)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комплект документов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Оформление изменения должности работника (приказ + доп. соглашение к трудовому договору)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комплект документов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95E2C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Ведение воинского учета по работникам Заказчика/за 1 работника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95E2C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Восстановление кадрового учета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17B22"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Заполнение больничного листа 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больничный лист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C92AD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Составление прочих приказов по личному составу (выговор, отзыв из отпуска и т.п.)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95E2C">
        <w:trPr>
          <w:tblCellSpacing w:w="15" w:type="dxa"/>
        </w:trPr>
        <w:tc>
          <w:tcPr>
            <w:tcW w:w="2896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Выяснение недостающей персональной информации</w:t>
            </w:r>
          </w:p>
        </w:tc>
        <w:tc>
          <w:tcPr>
            <w:tcW w:w="100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995E2C" w:rsidRPr="00C92ADC" w:rsidRDefault="00995E2C" w:rsidP="00995E2C">
      <w:pPr>
        <w:spacing w:after="0" w:line="240" w:lineRule="auto"/>
        <w:jc w:val="center"/>
        <w:outlineLvl w:val="1"/>
        <w:rPr>
          <w:rFonts w:ascii="Noto Serif" w:eastAsia="Times New Roman" w:hAnsi="Noto Serif" w:cs="Nachlieli CLM"/>
          <w:color w:val="000000" w:themeColor="text1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000000" w:themeColor="text1"/>
          <w:kern w:val="0"/>
          <w:sz w:val="57"/>
          <w:szCs w:val="57"/>
          <w:bdr w:val="none" w:sz="0" w:space="0" w:color="auto" w:frame="1"/>
          <w:lang w:eastAsia="ru-RU"/>
          <w14:ligatures w14:val="none"/>
        </w:rPr>
        <w:t>Стоимость ведения </w:t>
      </w:r>
      <w:r w:rsidRPr="00E32820">
        <w:rPr>
          <w:rFonts w:eastAsia="Times New Roman" w:cs="Nachlieli CLM"/>
          <w:color w:val="000000" w:themeColor="text1"/>
          <w:kern w:val="0"/>
          <w:sz w:val="57"/>
          <w:szCs w:val="57"/>
          <w:bdr w:val="none" w:sz="0" w:space="0" w:color="auto" w:frame="1"/>
          <w:lang w:eastAsia="ru-RU"/>
          <w14:ligatures w14:val="none"/>
        </w:rPr>
        <w:t>воинского</w:t>
      </w:r>
      <w:r w:rsidRPr="00C92ADC">
        <w:rPr>
          <w:rFonts w:ascii="Noto Serif" w:eastAsia="Times New Roman" w:hAnsi="Noto Serif" w:cs="Nachlieli CLM"/>
          <w:color w:val="000000" w:themeColor="text1"/>
          <w:kern w:val="0"/>
          <w:sz w:val="57"/>
          <w:szCs w:val="57"/>
          <w:lang w:eastAsia="ru-RU"/>
          <w14:ligatures w14:val="none"/>
        </w:rPr>
        <w:t xml:space="preserve"> учета</w:t>
      </w:r>
    </w:p>
    <w:p w:rsidR="00995E2C" w:rsidRPr="00C92ADC" w:rsidRDefault="00995E2C" w:rsidP="00995E2C">
      <w:pPr>
        <w:spacing w:after="0" w:line="240" w:lineRule="auto"/>
        <w:jc w:val="center"/>
        <w:rPr>
          <w:rFonts w:ascii="Roboto" w:eastAsia="Times New Roman" w:hAnsi="Roboto" w:cs="Nachlieli CLM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1877"/>
        <w:gridCol w:w="1325"/>
        <w:gridCol w:w="661"/>
      </w:tblGrid>
      <w:tr w:rsidR="00A17B22" w:rsidRPr="00E32820" w:rsidTr="0081094C">
        <w:trPr>
          <w:tblHeader/>
          <w:tblCellSpacing w:w="15" w:type="dxa"/>
        </w:trPr>
        <w:tc>
          <w:tcPr>
            <w:tcW w:w="2910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988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693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  <w:tc>
          <w:tcPr>
            <w:tcW w:w="32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</w:tr>
      <w:tr w:rsidR="00A17B22" w:rsidRPr="00E32820" w:rsidTr="0081094C">
        <w:trPr>
          <w:tblCellSpacing w:w="15" w:type="dxa"/>
        </w:trPr>
        <w:tc>
          <w:tcPr>
            <w:tcW w:w="2910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Создание и обновление карточки Ф10</w:t>
            </w:r>
          </w:p>
        </w:tc>
        <w:tc>
          <w:tcPr>
            <w:tcW w:w="988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справку</w:t>
            </w:r>
          </w:p>
        </w:tc>
        <w:tc>
          <w:tcPr>
            <w:tcW w:w="693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91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81094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сведений о кадровых </w:t>
            </w:r>
            <w:proofErr w:type="spellStart"/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событиях</w:t>
            </w:r>
            <w:r w:rsidR="0081094C"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spellEnd"/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 об изменении персональных данных , данных воинского учета и направление их в военкоматы.</w:t>
            </w:r>
          </w:p>
        </w:tc>
        <w:tc>
          <w:tcPr>
            <w:tcW w:w="988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A17B22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  <w:r w:rsidR="00995E2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4F5FB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91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995E2C" w:rsidRPr="00C92ADC" w:rsidRDefault="0081094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Проведение сверки с военкоматами</w:t>
            </w:r>
          </w:p>
        </w:tc>
        <w:tc>
          <w:tcPr>
            <w:tcW w:w="988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A17B22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  <w:r w:rsidR="00995E2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9F09CA">
        <w:trPr>
          <w:tblCellSpacing w:w="15" w:type="dxa"/>
        </w:trPr>
        <w:tc>
          <w:tcPr>
            <w:tcW w:w="291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81094C" w:rsidP="0081094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Сдача отчетности</w:t>
            </w:r>
          </w:p>
        </w:tc>
        <w:tc>
          <w:tcPr>
            <w:tcW w:w="988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расчет налога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A17B22" w:rsidP="00A17B22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  <w:r w:rsidR="00995E2C"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4F5FB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B22" w:rsidRPr="00E32820" w:rsidTr="0081094C">
        <w:trPr>
          <w:tblCellSpacing w:w="15" w:type="dxa"/>
        </w:trPr>
        <w:tc>
          <w:tcPr>
            <w:tcW w:w="291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81094C" w:rsidP="0081094C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Ежегодное обновление документов по организации (план, приказ, форма 18)</w:t>
            </w:r>
          </w:p>
        </w:tc>
        <w:tc>
          <w:tcPr>
            <w:tcW w:w="988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 1 декларацию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95E2C" w:rsidRPr="00C92ADC" w:rsidRDefault="00995E2C" w:rsidP="006F5E24">
            <w:pPr>
              <w:spacing w:after="0" w:line="240" w:lineRule="auto"/>
              <w:rPr>
                <w:rFonts w:ascii="Roboto" w:eastAsia="Times New Roman" w:hAnsi="Roboto" w:cs="Nachlieli CLM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995E2C" w:rsidRPr="00E32820" w:rsidRDefault="00995E2C" w:rsidP="00C92ADC">
      <w:pPr>
        <w:spacing w:after="0" w:line="240" w:lineRule="auto"/>
        <w:jc w:val="center"/>
        <w:outlineLvl w:val="1"/>
        <w:rPr>
          <w:rFonts w:eastAsia="Times New Roman" w:cs="Nachlieli CLM"/>
          <w:color w:val="000000" w:themeColor="text1"/>
          <w:kern w:val="0"/>
          <w:sz w:val="57"/>
          <w:szCs w:val="57"/>
          <w:bdr w:val="none" w:sz="0" w:space="0" w:color="auto" w:frame="1"/>
          <w:lang w:eastAsia="ru-RU"/>
          <w14:ligatures w14:val="none"/>
        </w:rPr>
      </w:pPr>
    </w:p>
    <w:p w:rsidR="00C92ADC" w:rsidRPr="00C92ADC" w:rsidRDefault="00C92ADC" w:rsidP="00C92ADC">
      <w:pPr>
        <w:spacing w:after="0" w:line="240" w:lineRule="auto"/>
        <w:jc w:val="center"/>
        <w:outlineLvl w:val="1"/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333366"/>
          <w:kern w:val="0"/>
          <w:sz w:val="57"/>
          <w:szCs w:val="57"/>
          <w:bdr w:val="none" w:sz="0" w:space="0" w:color="auto" w:frame="1"/>
          <w:lang w:eastAsia="ru-RU"/>
          <w14:ligatures w14:val="none"/>
        </w:rPr>
        <w:t>Стоимость ведения </w:t>
      </w:r>
      <w:r w:rsidRPr="00C92ADC"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  <w:t>бухгалтерского учета</w:t>
      </w:r>
    </w:p>
    <w:p w:rsidR="00C92ADC" w:rsidRPr="00C92ADC" w:rsidRDefault="00C92ADC" w:rsidP="00C92ADC">
      <w:pPr>
        <w:spacing w:after="0" w:line="240" w:lineRule="auto"/>
        <w:jc w:val="center"/>
        <w:rPr>
          <w:rFonts w:ascii="Roboto" w:eastAsia="Times New Roman" w:hAnsi="Roboto" w:cs="Nachlieli CLM"/>
          <w:color w:val="333366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2197"/>
        <w:gridCol w:w="1325"/>
        <w:gridCol w:w="661"/>
      </w:tblGrid>
      <w:tr w:rsidR="00C92ADC" w:rsidRPr="00C92ADC" w:rsidTr="00554128">
        <w:trPr>
          <w:tblHeader/>
          <w:tblCellSpacing w:w="15" w:type="dxa"/>
        </w:trPr>
        <w:tc>
          <w:tcPr>
            <w:tcW w:w="273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115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693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  <w:tc>
          <w:tcPr>
            <w:tcW w:w="32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Информирование Заказчика об остатках по расчетному счету, в кассе, о состоянии дебиторской, кредиторской задолженности с периодичностью, требуемой Заказчику</w:t>
            </w:r>
          </w:p>
        </w:tc>
        <w:tc>
          <w:tcPr>
            <w:tcW w:w="1159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справку</w:t>
            </w:r>
          </w:p>
        </w:tc>
        <w:tc>
          <w:tcPr>
            <w:tcW w:w="693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A17B22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Оформление на бумажном носителе первичных документов (товарная накладная грузовая таможенная декларация и т.п. документы, за исключением ПКО, РКО, счет-фактура, счет на оплату, акт сдачи-приемки)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Оформление на бумажном носителе первичных документов (ПКО, РКО, счет-фактура, счет на оплату, акт сдачи-приемки)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Перерасчет налоговой базы в связи с предоставлением документов по истечении срока, установленного Графиком взаимодействия на текущий расчетный период: - по налогам (УСН «доходы - расходы», ЕСХН, налог на прибыль, НДФЛ)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расчет налога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3000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A17B22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Составление уточненных деклараций за прошлые отчетные периоды- по налогам (УСН «доходы», НДС, ЕНВД, налог на имущество, транспортный налог, земельный налог)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декларацию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A17B22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Составление уточненных деклараций за прошлые отчетные периоды - по налогам (УСН «доходы - расходы», ЕСХН, налог на прибыль, НДФЛ)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декларацию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Разработка индивидуальной учетной политики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Сверка дебиторской/кредиторской задолженности с контрагентами Заказчика по данным бухгалтерского учета, в </w:t>
            </w:r>
            <w:proofErr w:type="spellStart"/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т.ч</w:t>
            </w:r>
            <w:proofErr w:type="spellEnd"/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. запрос и получение от контрагента Заказчика пакета документов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контрагента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Составление отчетов по форме, требуемой Заказчиком / Предоставление отчетов к дате, требуемой Заказчиком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отчет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Участие в инвентаризации учета ТМЦ на складе Заказчика, оформление результатов инвентаризации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Оформление путевых листов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Оформление авансовых отчетов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BC668A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Услуга «Оплата счетов» - подготовка платежных поручений в систему клиент-банк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Координация с банком Заказчика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валютного контроля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валютного контроля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Открытие/закрытие расчетного счета в банке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комплект документов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Расчет лимита остатка по кассе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700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Восстановление бухгалтерского/налогового учета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1300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E32820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Обучение сотрудников Заказчика работе с 1С 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9F09CA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Расчет заработной платы по системе оплаты труда Заказчика, расчет компенсаций, предусмотренных действующим законодательством РФ к датам, установленным для выплаты аванса/заработной платы.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Перерасчет всех работников после выполнения расчета по Графику </w:t>
            </w: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взаиморасчетов (повторный расчет и повторное формирование отчетов из-за изменения данных более чем по 50% работников) по просьбе или вине Заказчика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650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BC668A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Предоставление расчетных листков 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BC668A" w:rsidP="00BC668A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2820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92ADC"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индивидуального платежного поручения для перечисления заработной платы на счет работника/за 1 документ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BC668A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и подача анкет застрахованных лиц в ПФ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BC668A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справки о доходах в банк, справки в произвольной форме</w:t>
            </w:r>
            <w:r w:rsidR="00BC668A" w:rsidRPr="00E32820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справки о доходах за два года для расчета пособий по временной нетрудоспособности и в связи с материнством по запросу работника Заказчика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Сверка данных, введенных Заказчиком с использованием первичной документации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Предварительный расчет заработной платы, налогов с ФОТ для составления бюджетов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Восстановление расчета заработной платы за предыдущие периоды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1300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Прочие дополнительные услуги по расчету заработной платы по запросу Заказчика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D08D8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Устные и письменные пояснения уполномоченным сотрудникам Заказчика по расчетным листкам 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554128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Подготовка статистического отчета «Сведения о численности, заработной плате и движении работников (Форма № П-4)»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отчет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73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D08D8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индивидуальных отчетов: справки по форме 2-НДФЛ </w:t>
            </w:r>
          </w:p>
        </w:tc>
        <w:tc>
          <w:tcPr>
            <w:tcW w:w="115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отчет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400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C92ADC" w:rsidRPr="00C92ADC" w:rsidRDefault="00C92ADC" w:rsidP="00C92ADC">
      <w:pPr>
        <w:spacing w:after="600" w:line="240" w:lineRule="auto"/>
        <w:jc w:val="center"/>
        <w:outlineLvl w:val="1"/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  <w:t>Составление и сдача отчетности</w:t>
      </w:r>
    </w:p>
    <w:p w:rsidR="00C92ADC" w:rsidRPr="00C92ADC" w:rsidRDefault="00C92ADC" w:rsidP="00C92ADC">
      <w:pPr>
        <w:spacing w:after="0" w:line="240" w:lineRule="auto"/>
        <w:jc w:val="center"/>
        <w:rPr>
          <w:rFonts w:ascii="Roboto" w:eastAsia="Times New Roman" w:hAnsi="Roboto" w:cs="Nachlieli CLM"/>
          <w:color w:val="333366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1804"/>
        <w:gridCol w:w="1325"/>
        <w:gridCol w:w="661"/>
      </w:tblGrid>
      <w:tr w:rsidR="00C92ADC" w:rsidRPr="00C92ADC" w:rsidTr="00CD08D8">
        <w:trPr>
          <w:tblHeader/>
          <w:tblCellSpacing w:w="15" w:type="dxa"/>
        </w:trPr>
        <w:tc>
          <w:tcPr>
            <w:tcW w:w="294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94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693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  <w:tc>
          <w:tcPr>
            <w:tcW w:w="32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</w:tr>
      <w:tr w:rsidR="00C92ADC" w:rsidRPr="00C92ADC" w:rsidTr="00CD08D8">
        <w:trPr>
          <w:tblCellSpacing w:w="15" w:type="dxa"/>
        </w:trPr>
        <w:tc>
          <w:tcPr>
            <w:tcW w:w="2949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D08D8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и сдача декларации 3-НДФЛ </w:t>
            </w:r>
          </w:p>
        </w:tc>
        <w:tc>
          <w:tcPr>
            <w:tcW w:w="949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</w:t>
            </w:r>
          </w:p>
        </w:tc>
        <w:tc>
          <w:tcPr>
            <w:tcW w:w="693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1500 руб.</w:t>
            </w:r>
          </w:p>
        </w:tc>
        <w:tc>
          <w:tcPr>
            <w:tcW w:w="0" w:type="auto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и сдача индивидуальных сведений о страховом стаже и начисленных взносах на обязательное пенсионное страхование для количества работников, числящихся у Заказчика на конец квартала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чел.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Сдача отчетности почтовым отправлением с описью вложения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комплект отчетности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700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CD08D8">
        <w:trPr>
          <w:tblCellSpacing w:w="15" w:type="dxa"/>
        </w:trPr>
        <w:tc>
          <w:tcPr>
            <w:tcW w:w="2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D08D8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Формирование обязательных ежемесячных, квартальных и годовых отчетов по налогам, сборам и взносам, подлежащим уплате в бюджет</w:t>
            </w:r>
            <w:r w:rsidR="00CD08D8" w:rsidRPr="00E32820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 xml:space="preserve"> месяц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комплект отчетности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5000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2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Формирование и сдача сведений о доходах физических лиц и суммах начисленных и удержанных налогов для количества работников, числящихся у Заказчика на конец года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693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800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C92ADC" w:rsidRPr="00C92ADC" w:rsidRDefault="00C92ADC" w:rsidP="00C92ADC">
      <w:pPr>
        <w:spacing w:after="600" w:line="240" w:lineRule="auto"/>
        <w:jc w:val="center"/>
        <w:outlineLvl w:val="1"/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  <w:t>Консультации по вопросам ведения бухгалтерского и налогового учета</w:t>
      </w:r>
    </w:p>
    <w:p w:rsidR="00C92ADC" w:rsidRPr="00C92ADC" w:rsidRDefault="00C92ADC" w:rsidP="00C92ADC">
      <w:pPr>
        <w:spacing w:after="0" w:line="240" w:lineRule="auto"/>
        <w:jc w:val="center"/>
        <w:rPr>
          <w:rFonts w:ascii="Roboto" w:eastAsia="Times New Roman" w:hAnsi="Roboto" w:cs="Nachlieli CLM"/>
          <w:color w:val="333366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1804"/>
        <w:gridCol w:w="1345"/>
      </w:tblGrid>
      <w:tr w:rsidR="00C92ADC" w:rsidRPr="00C92ADC" w:rsidTr="00CD08D8">
        <w:trPr>
          <w:tblHeader/>
          <w:tblCellSpacing w:w="15" w:type="dxa"/>
        </w:trPr>
        <w:tc>
          <w:tcPr>
            <w:tcW w:w="3292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949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695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</w:tr>
      <w:tr w:rsidR="00C92ADC" w:rsidRPr="00C92ADC" w:rsidTr="00CD08D8">
        <w:trPr>
          <w:tblCellSpacing w:w="15" w:type="dxa"/>
        </w:trPr>
        <w:tc>
          <w:tcPr>
            <w:tcW w:w="3292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Письменное налоговое и бухгалтерское консультирование</w:t>
            </w:r>
          </w:p>
        </w:tc>
        <w:tc>
          <w:tcPr>
            <w:tcW w:w="949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</w:tr>
      <w:tr w:rsidR="00C92ADC" w:rsidRPr="00C92ADC" w:rsidTr="00E32820">
        <w:trPr>
          <w:tblCellSpacing w:w="15" w:type="dxa"/>
        </w:trPr>
        <w:tc>
          <w:tcPr>
            <w:tcW w:w="329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Финансовое и налоговое планирование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</w:tr>
      <w:tr w:rsidR="00C92ADC" w:rsidRPr="00C92ADC" w:rsidTr="00CD08D8">
        <w:trPr>
          <w:tblCellSpacing w:w="15" w:type="dxa"/>
        </w:trPr>
        <w:tc>
          <w:tcPr>
            <w:tcW w:w="329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Сверка расчетов бюджетом с ИФНС, ПФР, ФСС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</w:tr>
      <w:tr w:rsidR="00C92ADC" w:rsidRPr="00C92ADC" w:rsidTr="00E32820">
        <w:trPr>
          <w:tblCellSpacing w:w="15" w:type="dxa"/>
        </w:trPr>
        <w:tc>
          <w:tcPr>
            <w:tcW w:w="329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Подготовка пакета документов по требованию ИФНС, ПФР, ФСС и т.п.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</w:tr>
      <w:tr w:rsidR="00C92ADC" w:rsidRPr="00C92ADC" w:rsidTr="00CD08D8">
        <w:trPr>
          <w:tblCellSpacing w:w="15" w:type="dxa"/>
        </w:trPr>
        <w:tc>
          <w:tcPr>
            <w:tcW w:w="329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Сопровождение камеральной налоговой проверки ПФ, ФСС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</w:tr>
      <w:tr w:rsidR="00C92ADC" w:rsidRPr="00C92ADC" w:rsidTr="00E32820">
        <w:trPr>
          <w:tblCellSpacing w:w="15" w:type="dxa"/>
        </w:trPr>
        <w:tc>
          <w:tcPr>
            <w:tcW w:w="3292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Сопровождение выездной налоговой проверки, ПФ, ФСС</w:t>
            </w:r>
          </w:p>
        </w:tc>
        <w:tc>
          <w:tcPr>
            <w:tcW w:w="949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час.</w:t>
            </w:r>
          </w:p>
        </w:tc>
        <w:tc>
          <w:tcPr>
            <w:tcW w:w="695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4000 руб.</w:t>
            </w:r>
          </w:p>
        </w:tc>
      </w:tr>
    </w:tbl>
    <w:p w:rsidR="00C92ADC" w:rsidRPr="00C92ADC" w:rsidRDefault="00C92ADC" w:rsidP="00C92ADC">
      <w:pPr>
        <w:spacing w:after="600" w:line="240" w:lineRule="auto"/>
        <w:jc w:val="center"/>
        <w:outlineLvl w:val="1"/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</w:pPr>
      <w:r w:rsidRPr="00C92ADC">
        <w:rPr>
          <w:rFonts w:ascii="Noto Serif" w:eastAsia="Times New Roman" w:hAnsi="Noto Serif" w:cs="Nachlieli CLM"/>
          <w:color w:val="333366"/>
          <w:kern w:val="0"/>
          <w:sz w:val="57"/>
          <w:szCs w:val="57"/>
          <w:lang w:eastAsia="ru-RU"/>
          <w14:ligatures w14:val="none"/>
        </w:rPr>
        <w:t>Разное</w:t>
      </w:r>
    </w:p>
    <w:p w:rsidR="00C92ADC" w:rsidRPr="00C92ADC" w:rsidRDefault="00C92ADC" w:rsidP="00C92ADC">
      <w:pPr>
        <w:spacing w:after="0" w:line="240" w:lineRule="auto"/>
        <w:jc w:val="center"/>
        <w:rPr>
          <w:rFonts w:ascii="Roboto" w:eastAsia="Times New Roman" w:hAnsi="Roboto" w:cs="Nachlieli CLM"/>
          <w:color w:val="333366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1804"/>
        <w:gridCol w:w="1325"/>
        <w:gridCol w:w="661"/>
      </w:tblGrid>
      <w:tr w:rsidR="00C92ADC" w:rsidRPr="00C92ADC" w:rsidTr="00C92ADC">
        <w:trPr>
          <w:tblHeader/>
          <w:tblCellSpacing w:w="15" w:type="dxa"/>
        </w:trPr>
        <w:tc>
          <w:tcPr>
            <w:tcW w:w="3500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750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Условия</w:t>
            </w:r>
          </w:p>
        </w:tc>
        <w:tc>
          <w:tcPr>
            <w:tcW w:w="750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  <w:r w:rsidRPr="00C92ADC"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  <w:t>Цена</w:t>
            </w:r>
          </w:p>
        </w:tc>
        <w:tc>
          <w:tcPr>
            <w:tcW w:w="750" w:type="pct"/>
            <w:tcBorders>
              <w:top w:val="single" w:sz="2" w:space="0" w:color="333366"/>
              <w:left w:val="single" w:sz="2" w:space="0" w:color="333366"/>
              <w:bottom w:val="single" w:sz="6" w:space="0" w:color="333366"/>
              <w:right w:val="single" w:sz="2" w:space="0" w:color="333366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Noto Serif" w:eastAsia="Times New Roman" w:hAnsi="Noto Serif" w:cs="Nachlieli CLM"/>
                <w:b/>
                <w:bCs/>
                <w:color w:val="333366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</w:tr>
      <w:tr w:rsidR="00C92ADC" w:rsidRPr="00C92ADC" w:rsidTr="00C92ADC">
        <w:trPr>
          <w:tblCellSpacing w:w="15" w:type="dxa"/>
        </w:trPr>
        <w:tc>
          <w:tcPr>
            <w:tcW w:w="3500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Составление и сдача заявления о постановке на учет в качестве плательщика ЕНВД, патента</w:t>
            </w:r>
          </w:p>
        </w:tc>
        <w:tc>
          <w:tcPr>
            <w:tcW w:w="750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750" w:type="pct"/>
            <w:tcBorders>
              <w:top w:val="nil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850 руб.</w:t>
            </w:r>
          </w:p>
        </w:tc>
        <w:tc>
          <w:tcPr>
            <w:tcW w:w="0" w:type="auto"/>
            <w:tcBorders>
              <w:top w:val="nil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E32820">
        <w:trPr>
          <w:tblCellSpacing w:w="15" w:type="dxa"/>
        </w:trPr>
        <w:tc>
          <w:tcPr>
            <w:tcW w:w="350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Составление и сдача заявления о переходе на УСН или отказ от применения УСН</w:t>
            </w:r>
          </w:p>
        </w:tc>
        <w:tc>
          <w:tcPr>
            <w:tcW w:w="75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75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2ADC" w:rsidRPr="00C92ADC" w:rsidTr="00C92ADC">
        <w:trPr>
          <w:tblCellSpacing w:w="15" w:type="dxa"/>
        </w:trPr>
        <w:tc>
          <w:tcPr>
            <w:tcW w:w="350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Составление и сдача заявления о смене объекта налогообложения при УСН</w:t>
            </w:r>
          </w:p>
        </w:tc>
        <w:tc>
          <w:tcPr>
            <w:tcW w:w="75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за 1 документ</w:t>
            </w:r>
          </w:p>
        </w:tc>
        <w:tc>
          <w:tcPr>
            <w:tcW w:w="750" w:type="pct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2ADC"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  <w:t>850 руб.</w:t>
            </w:r>
          </w:p>
        </w:tc>
        <w:tc>
          <w:tcPr>
            <w:tcW w:w="0" w:type="auto"/>
            <w:tcBorders>
              <w:top w:val="single" w:sz="2" w:space="0" w:color="A6A6CE"/>
              <w:left w:val="single" w:sz="2" w:space="0" w:color="A6A6CE"/>
              <w:bottom w:val="single" w:sz="6" w:space="0" w:color="A6A6CE"/>
              <w:right w:val="single" w:sz="2" w:space="0" w:color="A6A6CE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Roboto" w:eastAsia="Times New Roman" w:hAnsi="Roboto" w:cs="Nachlieli CLM"/>
                <w:color w:val="33336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8D14BC" w:rsidRPr="00E32820" w:rsidRDefault="008D14BC">
      <w:pPr>
        <w:rPr>
          <w:rFonts w:cs="Nachlieli CLM"/>
        </w:rPr>
      </w:pPr>
      <w:bookmarkStart w:id="0" w:name="_GoBack"/>
      <w:bookmarkEnd w:id="0"/>
    </w:p>
    <w:sectPr w:rsidR="008D14BC" w:rsidRPr="00E3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Nachlieli CLM">
    <w:panose1 w:val="02000603000000000000"/>
    <w:charset w:val="B1"/>
    <w:family w:val="modern"/>
    <w:notTrueType/>
    <w:pitch w:val="variable"/>
    <w:sig w:usb0="80000803" w:usb1="50002842" w:usb2="00000000" w:usb3="00000000" w:csb0="00000020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05"/>
    <w:rsid w:val="0000062A"/>
    <w:rsid w:val="00404C05"/>
    <w:rsid w:val="00554128"/>
    <w:rsid w:val="0081094C"/>
    <w:rsid w:val="008D14BC"/>
    <w:rsid w:val="00995E2C"/>
    <w:rsid w:val="009F09CA"/>
    <w:rsid w:val="00A17B22"/>
    <w:rsid w:val="00BC668A"/>
    <w:rsid w:val="00C92ADC"/>
    <w:rsid w:val="00CD08D8"/>
    <w:rsid w:val="00E32820"/>
    <w:rsid w:val="00F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97F0"/>
  <w15:chartTrackingRefBased/>
  <w15:docId w15:val="{35578FA0-D995-4971-A5BE-90BD74B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8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4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95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8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0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0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9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95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52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38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1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60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9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29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40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2025-09-18T10:24:00Z</dcterms:created>
  <dcterms:modified xsi:type="dcterms:W3CDTF">2025-09-18T11:29:00Z</dcterms:modified>
</cp:coreProperties>
</file>